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42" w:rsidRDefault="00123A42"/>
    <w:p w:rsidR="00BF647B" w:rsidRPr="00AB514E" w:rsidRDefault="00BF647B" w:rsidP="00BF647B">
      <w:pPr>
        <w:jc w:val="center"/>
        <w:rPr>
          <w:rFonts w:asciiTheme="minorHAnsi" w:hAnsiTheme="minorHAnsi"/>
          <w:color w:val="000000" w:themeColor="text1"/>
        </w:rPr>
      </w:pPr>
    </w:p>
    <w:p w:rsidR="00BF647B" w:rsidRDefault="00BF647B" w:rsidP="00BF647B">
      <w:pPr>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Growth Enhancers (</w:t>
      </w:r>
      <w:r w:rsidRPr="003C1E1C">
        <w:rPr>
          <w:rFonts w:asciiTheme="minorHAnsi" w:hAnsiTheme="minorHAnsi"/>
          <w:b/>
          <w:bCs/>
          <w:color w:val="000000" w:themeColor="text1"/>
          <w:sz w:val="32"/>
          <w:szCs w:val="32"/>
        </w:rPr>
        <w:t>Beta-Adrenergic Agonists</w:t>
      </w:r>
      <w:r>
        <w:rPr>
          <w:rFonts w:asciiTheme="minorHAnsi" w:hAnsiTheme="minorHAnsi"/>
          <w:b/>
          <w:bCs/>
          <w:color w:val="000000" w:themeColor="text1"/>
          <w:sz w:val="32"/>
          <w:szCs w:val="32"/>
        </w:rPr>
        <w:t>)</w:t>
      </w:r>
      <w:r w:rsidRPr="003C1E1C">
        <w:rPr>
          <w:rFonts w:asciiTheme="minorHAnsi" w:hAnsiTheme="minorHAnsi"/>
          <w:b/>
          <w:bCs/>
          <w:color w:val="000000" w:themeColor="text1"/>
          <w:sz w:val="32"/>
          <w:szCs w:val="32"/>
        </w:rPr>
        <w:t xml:space="preserve"> and Cattle</w:t>
      </w:r>
      <w:r>
        <w:rPr>
          <w:rFonts w:asciiTheme="minorHAnsi" w:hAnsiTheme="minorHAnsi"/>
          <w:b/>
          <w:bCs/>
          <w:color w:val="000000" w:themeColor="text1"/>
          <w:sz w:val="32"/>
          <w:szCs w:val="32"/>
        </w:rPr>
        <w:t>-</w:t>
      </w:r>
      <w:r w:rsidRPr="003C1E1C">
        <w:rPr>
          <w:rFonts w:asciiTheme="minorHAnsi" w:hAnsiTheme="minorHAnsi"/>
          <w:b/>
          <w:bCs/>
          <w:color w:val="000000" w:themeColor="text1"/>
          <w:sz w:val="32"/>
          <w:szCs w:val="32"/>
        </w:rPr>
        <w:t>Feed</w:t>
      </w:r>
    </w:p>
    <w:p w:rsidR="00BF647B" w:rsidRPr="003C1E1C" w:rsidRDefault="00BF647B" w:rsidP="00BF647B">
      <w:pPr>
        <w:jc w:val="center"/>
        <w:rPr>
          <w:rFonts w:asciiTheme="minorHAnsi" w:hAnsiTheme="minorHAnsi"/>
          <w:b/>
          <w:bCs/>
          <w:color w:val="000000" w:themeColor="text1"/>
          <w:sz w:val="32"/>
          <w:szCs w:val="32"/>
        </w:rPr>
      </w:pPr>
    </w:p>
    <w:p w:rsidR="00BF647B" w:rsidRPr="00D35FB7" w:rsidRDefault="00BF647B" w:rsidP="00BF647B">
      <w:pPr>
        <w:rPr>
          <w:rFonts w:asciiTheme="minorHAnsi" w:hAnsiTheme="minorHAnsi"/>
          <w:color w:val="000000" w:themeColor="text1"/>
        </w:rPr>
      </w:pPr>
    </w:p>
    <w:p w:rsidR="00BF647B" w:rsidRPr="00D35FB7" w:rsidRDefault="00BF647B" w:rsidP="00BF647B">
      <w:pPr>
        <w:jc w:val="both"/>
        <w:rPr>
          <w:rFonts w:asciiTheme="minorHAnsi" w:hAnsiTheme="minorHAnsi"/>
          <w:color w:val="000000" w:themeColor="text1"/>
        </w:rPr>
      </w:pPr>
      <w:r w:rsidRPr="00D35FB7">
        <w:rPr>
          <w:rFonts w:asciiTheme="minorHAnsi" w:hAnsiTheme="minorHAnsi"/>
          <w:color w:val="000000" w:themeColor="text1"/>
        </w:rPr>
        <w:t>Beta-2 agonists are widely utilized by cattle raisers in the US since the Food and Drug Administration (FDA) approved their utilization in cattle feed in 2003. Beta-2 agonists are estimated to be used in 60-8</w:t>
      </w:r>
      <w:bookmarkStart w:id="0" w:name="_GoBack"/>
      <w:bookmarkEnd w:id="0"/>
      <w:r w:rsidRPr="00D35FB7">
        <w:rPr>
          <w:rFonts w:asciiTheme="minorHAnsi" w:hAnsiTheme="minorHAnsi"/>
          <w:color w:val="000000" w:themeColor="text1"/>
        </w:rPr>
        <w:t xml:space="preserve">0% of cattle raised in the US. Beta-2 agonists are not only licensed for cattle feed in the US, but also in Canada, Australia, Japan and Mexico. However, the usage of beta-2 agonists in cattle feed is prohibited in Guadeloupe, Iceland, Martinique, Monaco, Norway, Switzerland and all European Union countries.  This article aims to answer two main questions: First, why are beta-2 agonists used in cattle feed? Second, why they are banned in some countries while approved in others? </w:t>
      </w:r>
    </w:p>
    <w:p w:rsidR="00BF647B" w:rsidRPr="00D35FB7" w:rsidRDefault="00BF647B" w:rsidP="00BF647B">
      <w:pPr>
        <w:jc w:val="both"/>
        <w:rPr>
          <w:rFonts w:asciiTheme="minorHAnsi" w:hAnsiTheme="minorHAnsi"/>
          <w:color w:val="000000" w:themeColor="text1"/>
        </w:rPr>
      </w:pPr>
    </w:p>
    <w:p w:rsidR="00BF647B" w:rsidRPr="00D35FB7" w:rsidRDefault="00BF647B" w:rsidP="00BF647B">
      <w:pPr>
        <w:jc w:val="both"/>
        <w:rPr>
          <w:rFonts w:asciiTheme="minorHAnsi" w:hAnsiTheme="minorHAnsi"/>
          <w:color w:val="000000" w:themeColor="text1"/>
        </w:rPr>
      </w:pPr>
      <w:r w:rsidRPr="00D35FB7">
        <w:rPr>
          <w:rFonts w:asciiTheme="minorHAnsi" w:hAnsiTheme="minorHAnsi"/>
          <w:color w:val="000000" w:themeColor="text1"/>
        </w:rPr>
        <w:t>Beta-adrenergic agonists are non-hormonal medications that work on the cellular level to enhance or reduce physiological responses that mimic the “fight-or-flight” response mediated by adrenaline. Therefore, these medications are used in the human medical field to manage multiple diseases such as cardiovascular and respiratory disorders.</w:t>
      </w:r>
    </w:p>
    <w:p w:rsidR="00BF647B" w:rsidRPr="00D35FB7" w:rsidRDefault="00BF647B" w:rsidP="00BF647B">
      <w:pPr>
        <w:jc w:val="both"/>
        <w:rPr>
          <w:rFonts w:asciiTheme="minorHAnsi" w:hAnsiTheme="minorHAnsi"/>
          <w:color w:val="000000" w:themeColor="text1"/>
        </w:rPr>
      </w:pPr>
    </w:p>
    <w:p w:rsidR="00BF647B" w:rsidRPr="00D35FB7" w:rsidRDefault="00BF647B" w:rsidP="00BF647B">
      <w:pPr>
        <w:jc w:val="both"/>
        <w:rPr>
          <w:rFonts w:asciiTheme="minorHAnsi" w:hAnsiTheme="minorHAnsi"/>
          <w:b/>
          <w:bCs/>
          <w:color w:val="000000" w:themeColor="text1"/>
        </w:rPr>
      </w:pPr>
      <w:r w:rsidRPr="00D35FB7">
        <w:rPr>
          <w:rFonts w:asciiTheme="minorHAnsi" w:hAnsiTheme="minorHAnsi"/>
          <w:b/>
          <w:bCs/>
          <w:color w:val="000000" w:themeColor="text1"/>
        </w:rPr>
        <w:t xml:space="preserve">What is the role of these medications in cattle raising? </w:t>
      </w:r>
    </w:p>
    <w:p w:rsidR="00BF647B" w:rsidRPr="00D35FB7" w:rsidRDefault="00BF647B" w:rsidP="00BF647B">
      <w:pPr>
        <w:jc w:val="both"/>
        <w:rPr>
          <w:rFonts w:asciiTheme="minorHAnsi" w:hAnsiTheme="minorHAnsi"/>
          <w:b/>
          <w:bCs/>
          <w:color w:val="000000" w:themeColor="text1"/>
        </w:rPr>
      </w:pPr>
    </w:p>
    <w:p w:rsidR="00BF647B" w:rsidRPr="00D35FB7" w:rsidRDefault="00BF647B" w:rsidP="00BF647B">
      <w:pPr>
        <w:jc w:val="both"/>
        <w:rPr>
          <w:rFonts w:asciiTheme="minorHAnsi" w:hAnsiTheme="minorHAnsi"/>
          <w:color w:val="000000" w:themeColor="text1"/>
        </w:rPr>
      </w:pPr>
      <w:r w:rsidRPr="00D35FB7">
        <w:rPr>
          <w:rFonts w:asciiTheme="minorHAnsi" w:hAnsiTheme="minorHAnsi"/>
          <w:color w:val="000000" w:themeColor="text1"/>
        </w:rPr>
        <w:t>Beta-2 agonists stimulate cellular receptors on fat cells of the animal, these receptors reduce the production of fat tissue while increasing the protein synthesis and muscle fibers size. Therefore, farmers can efficiently increase the lean body mass of their cattle with less food and water intake. Accordingly, beta-2 agonists are estimated to increase the US meat production by 1.5-2% which equates to 360 million pounds of lean beef a year without a significant increase in the price of production, providing the consumers with more meat for more affordable prices.</w:t>
      </w:r>
    </w:p>
    <w:p w:rsidR="00BF647B" w:rsidRPr="00D35FB7" w:rsidRDefault="00BF647B" w:rsidP="00BF647B">
      <w:pPr>
        <w:jc w:val="both"/>
        <w:rPr>
          <w:rFonts w:asciiTheme="minorHAnsi" w:hAnsiTheme="minorHAnsi"/>
          <w:color w:val="000000" w:themeColor="text1"/>
        </w:rPr>
      </w:pPr>
    </w:p>
    <w:p w:rsidR="00BF647B" w:rsidRPr="00D35FB7" w:rsidRDefault="00BF647B" w:rsidP="00BF647B">
      <w:pPr>
        <w:jc w:val="both"/>
        <w:rPr>
          <w:rFonts w:asciiTheme="minorHAnsi" w:hAnsiTheme="minorHAnsi"/>
          <w:b/>
          <w:bCs/>
          <w:color w:val="000000" w:themeColor="text1"/>
        </w:rPr>
      </w:pPr>
      <w:r w:rsidRPr="00D35FB7">
        <w:rPr>
          <w:rFonts w:asciiTheme="minorHAnsi" w:hAnsiTheme="minorHAnsi"/>
          <w:b/>
          <w:bCs/>
          <w:color w:val="000000" w:themeColor="text1"/>
        </w:rPr>
        <w:t xml:space="preserve">How does the utilization of beta-2 agonists in cattle feed affect consumers’ health? </w:t>
      </w:r>
    </w:p>
    <w:p w:rsidR="00BF647B" w:rsidRPr="00D35FB7" w:rsidRDefault="00BF647B" w:rsidP="00BF647B">
      <w:pPr>
        <w:pStyle w:val="NormalWeb"/>
        <w:jc w:val="both"/>
        <w:rPr>
          <w:rFonts w:asciiTheme="minorHAnsi" w:eastAsia="Times New Roman" w:hAnsiTheme="minorHAnsi"/>
          <w:color w:val="000000" w:themeColor="text1"/>
          <w:shd w:val="clear" w:color="auto" w:fill="FEFDFA"/>
        </w:rPr>
      </w:pPr>
      <w:r w:rsidRPr="00D35FB7">
        <w:rPr>
          <w:rFonts w:asciiTheme="minorHAnsi" w:hAnsiTheme="minorHAnsi"/>
          <w:color w:val="000000" w:themeColor="text1"/>
        </w:rPr>
        <w:t xml:space="preserve">Beta-2 agonists have a very short half-life which means that they remain for a short time in the animal body. The animal liver metabolizes them quickly and excretes them with the animal feces and urine. Therefore, no or minimal amounts of residual levels can be detected in the cattle meat. Additionally, meat produced from beta-2 agonist fed cattle are not allowed to be exported if residue limits exceed the maximum set by </w:t>
      </w:r>
      <w:r w:rsidRPr="00D35FB7">
        <w:rPr>
          <w:rFonts w:asciiTheme="minorHAnsi" w:hAnsiTheme="minorHAnsi" w:cs="TimesNewRomanPSMT"/>
          <w:color w:val="000000" w:themeColor="text1"/>
        </w:rPr>
        <w:t>The Joint Food and Agriculture Organization of the United Nations World Health Organization Expert Committee on Food Additives (JECFA).</w:t>
      </w:r>
      <w:r w:rsidRPr="00D35FB7">
        <w:rPr>
          <w:rFonts w:asciiTheme="minorHAnsi" w:hAnsiTheme="minorHAnsi"/>
          <w:color w:val="000000" w:themeColor="text1"/>
        </w:rPr>
        <w:t xml:space="preserve">  The FDA which is responsible for regulating food for both humans and animals has approved the utilization of two beta-2 agonists (</w:t>
      </w:r>
      <w:proofErr w:type="spellStart"/>
      <w:r w:rsidRPr="00D35FB7">
        <w:rPr>
          <w:rFonts w:asciiTheme="minorHAnsi" w:eastAsia="Times New Roman" w:hAnsiTheme="minorHAnsi"/>
          <w:color w:val="000000" w:themeColor="text1"/>
          <w:shd w:val="clear" w:color="auto" w:fill="FEFDFA"/>
        </w:rPr>
        <w:t>Optaflexx</w:t>
      </w:r>
      <w:proofErr w:type="spellEnd"/>
      <w:r w:rsidRPr="00D35FB7">
        <w:rPr>
          <w:rFonts w:asciiTheme="minorHAnsi" w:eastAsia="Times New Roman" w:hAnsiTheme="minorHAnsi"/>
          <w:color w:val="000000" w:themeColor="text1"/>
          <w:vertAlign w:val="superscript"/>
        </w:rPr>
        <w:t>©</w:t>
      </w:r>
      <w:r w:rsidRPr="00D35FB7">
        <w:rPr>
          <w:rFonts w:asciiTheme="minorHAnsi" w:eastAsia="Times New Roman" w:hAnsiTheme="minorHAnsi"/>
          <w:color w:val="000000" w:themeColor="text1"/>
          <w:shd w:val="clear" w:color="auto" w:fill="FEFDFA"/>
        </w:rPr>
        <w:t xml:space="preserve"> and </w:t>
      </w:r>
      <w:proofErr w:type="spellStart"/>
      <w:r w:rsidRPr="00D35FB7">
        <w:rPr>
          <w:rFonts w:asciiTheme="minorHAnsi" w:eastAsia="Times New Roman" w:hAnsiTheme="minorHAnsi"/>
          <w:color w:val="000000" w:themeColor="text1"/>
          <w:shd w:val="clear" w:color="auto" w:fill="FEFDFA"/>
        </w:rPr>
        <w:t>Zilmax</w:t>
      </w:r>
      <w:proofErr w:type="spellEnd"/>
      <w:r w:rsidRPr="00D35FB7">
        <w:rPr>
          <w:rFonts w:asciiTheme="minorHAnsi" w:eastAsia="Times New Roman" w:hAnsiTheme="minorHAnsi"/>
          <w:color w:val="000000" w:themeColor="text1"/>
          <w:vertAlign w:val="superscript"/>
        </w:rPr>
        <w:t>©</w:t>
      </w:r>
      <w:r w:rsidRPr="00D35FB7">
        <w:rPr>
          <w:rFonts w:asciiTheme="minorHAnsi" w:eastAsia="Times New Roman" w:hAnsiTheme="minorHAnsi"/>
          <w:color w:val="000000" w:themeColor="text1"/>
          <w:shd w:val="clear" w:color="auto" w:fill="FEFDFA"/>
        </w:rPr>
        <w:t>) in cattle feed 20 to 40 days before slaughter.</w:t>
      </w:r>
    </w:p>
    <w:p w:rsidR="00BF647B" w:rsidRPr="00D35FB7" w:rsidRDefault="00BF647B" w:rsidP="00BF647B">
      <w:pPr>
        <w:pStyle w:val="NormalWeb"/>
        <w:jc w:val="both"/>
        <w:rPr>
          <w:rFonts w:asciiTheme="minorHAnsi" w:eastAsia="Times New Roman" w:hAnsiTheme="minorHAnsi"/>
          <w:b/>
          <w:bCs/>
          <w:color w:val="000000" w:themeColor="text1"/>
          <w:shd w:val="clear" w:color="auto" w:fill="FEFDFA"/>
        </w:rPr>
      </w:pPr>
    </w:p>
    <w:p w:rsidR="00BF647B" w:rsidRPr="00D35FB7" w:rsidRDefault="00BF647B" w:rsidP="00BF647B">
      <w:pPr>
        <w:pStyle w:val="NormalWeb"/>
        <w:jc w:val="both"/>
        <w:rPr>
          <w:rFonts w:asciiTheme="minorHAnsi" w:eastAsia="Times New Roman" w:hAnsiTheme="minorHAnsi"/>
          <w:b/>
          <w:bCs/>
          <w:color w:val="000000" w:themeColor="text1"/>
          <w:shd w:val="clear" w:color="auto" w:fill="FEFDFA"/>
        </w:rPr>
      </w:pPr>
    </w:p>
    <w:p w:rsidR="00BF647B" w:rsidRPr="00D35FB7" w:rsidRDefault="00BF647B" w:rsidP="00BF647B">
      <w:pPr>
        <w:pStyle w:val="NormalWeb"/>
        <w:jc w:val="both"/>
        <w:rPr>
          <w:rFonts w:asciiTheme="minorHAnsi" w:eastAsia="Times New Roman" w:hAnsiTheme="minorHAnsi"/>
          <w:b/>
          <w:bCs/>
          <w:color w:val="000000" w:themeColor="text1"/>
          <w:shd w:val="clear" w:color="auto" w:fill="FEFDFA"/>
        </w:rPr>
      </w:pPr>
    </w:p>
    <w:p w:rsidR="00BF647B" w:rsidRPr="00D35FB7" w:rsidRDefault="00BF647B" w:rsidP="00BF647B">
      <w:pPr>
        <w:pStyle w:val="NormalWeb"/>
        <w:jc w:val="both"/>
        <w:rPr>
          <w:rFonts w:asciiTheme="minorHAnsi" w:hAnsiTheme="minorHAnsi"/>
          <w:b/>
          <w:bCs/>
          <w:color w:val="000000" w:themeColor="text1"/>
        </w:rPr>
      </w:pPr>
      <w:r w:rsidRPr="00D35FB7">
        <w:rPr>
          <w:rFonts w:asciiTheme="minorHAnsi" w:eastAsia="Times New Roman" w:hAnsiTheme="minorHAnsi"/>
          <w:b/>
          <w:bCs/>
          <w:color w:val="000000" w:themeColor="text1"/>
          <w:shd w:val="clear" w:color="auto" w:fill="FEFDFA"/>
        </w:rPr>
        <w:t>Why do some countries prohibit the usage of beta-2 agonists for cattle feeding?</w:t>
      </w:r>
    </w:p>
    <w:p w:rsidR="00BF647B" w:rsidRPr="00D35FB7" w:rsidRDefault="00BF647B" w:rsidP="00BF647B">
      <w:pPr>
        <w:jc w:val="both"/>
        <w:rPr>
          <w:rFonts w:asciiTheme="minorHAnsi" w:eastAsia="Times New Roman" w:hAnsiTheme="minorHAnsi"/>
          <w:color w:val="000000" w:themeColor="text1"/>
          <w:shd w:val="clear" w:color="auto" w:fill="FEFDFA"/>
        </w:rPr>
      </w:pPr>
      <w:r w:rsidRPr="00D35FB7">
        <w:rPr>
          <w:rFonts w:asciiTheme="minorHAnsi" w:eastAsia="Times New Roman" w:hAnsiTheme="minorHAnsi"/>
          <w:color w:val="000000" w:themeColor="text1"/>
          <w:shd w:val="clear" w:color="auto" w:fill="FEFDFA"/>
        </w:rPr>
        <w:t xml:space="preserve">Multiple studies analyzed the effect of beta-2 agonists on animals’ welfare. A study done by Guy </w:t>
      </w:r>
      <w:proofErr w:type="spellStart"/>
      <w:r w:rsidRPr="00D35FB7">
        <w:rPr>
          <w:rFonts w:asciiTheme="minorHAnsi" w:eastAsia="Times New Roman" w:hAnsiTheme="minorHAnsi"/>
          <w:color w:val="000000" w:themeColor="text1"/>
          <w:shd w:val="clear" w:color="auto" w:fill="FFFFFF"/>
        </w:rPr>
        <w:t>Loneragan</w:t>
      </w:r>
      <w:proofErr w:type="spellEnd"/>
      <w:r w:rsidRPr="00D35FB7">
        <w:rPr>
          <w:rFonts w:asciiTheme="minorHAnsi" w:eastAsia="Times New Roman" w:hAnsiTheme="minorHAnsi"/>
          <w:color w:val="000000" w:themeColor="text1"/>
          <w:shd w:val="clear" w:color="auto" w:fill="FFFFFF"/>
        </w:rPr>
        <w:t>,</w:t>
      </w:r>
      <w:r w:rsidRPr="00D35FB7">
        <w:rPr>
          <w:rFonts w:asciiTheme="minorHAnsi" w:eastAsia="Times New Roman" w:hAnsiTheme="minorHAnsi"/>
          <w:color w:val="000000" w:themeColor="text1"/>
        </w:rPr>
        <w:t xml:space="preserve"> the pr</w:t>
      </w:r>
      <w:r w:rsidRPr="00D35FB7">
        <w:rPr>
          <w:rFonts w:asciiTheme="minorHAnsi" w:eastAsia="Times New Roman" w:hAnsiTheme="minorHAnsi"/>
          <w:color w:val="000000" w:themeColor="text1"/>
          <w:shd w:val="clear" w:color="auto" w:fill="FFFFFF"/>
        </w:rPr>
        <w:t>ofessor of food safety and public health in Texas Tech's College of Agricultural Sciences and Natural Resources</w:t>
      </w:r>
      <w:r w:rsidRPr="00D35FB7">
        <w:rPr>
          <w:rFonts w:asciiTheme="minorHAnsi" w:eastAsia="Times New Roman" w:hAnsiTheme="minorHAnsi"/>
          <w:color w:val="000000" w:themeColor="text1"/>
        </w:rPr>
        <w:t xml:space="preserve">, finds that cattle fed with beta-2 agonists have higher death rates compared to non-fed beta-2 </w:t>
      </w:r>
      <w:proofErr w:type="gramStart"/>
      <w:r w:rsidRPr="00D35FB7">
        <w:rPr>
          <w:rFonts w:asciiTheme="minorHAnsi" w:eastAsia="Times New Roman" w:hAnsiTheme="minorHAnsi"/>
          <w:color w:val="000000" w:themeColor="text1"/>
        </w:rPr>
        <w:t>agonists</w:t>
      </w:r>
      <w:proofErr w:type="gramEnd"/>
      <w:r w:rsidRPr="00D35FB7">
        <w:rPr>
          <w:rFonts w:asciiTheme="minorHAnsi" w:eastAsia="Times New Roman" w:hAnsiTheme="minorHAnsi"/>
          <w:color w:val="000000" w:themeColor="text1"/>
        </w:rPr>
        <w:t xml:space="preserve"> cattle. Other reports raised the awareness of the effect of beta-2 agonists on animals’ mobility and temperature. Therefore, some countries have banned the utilization of such drugs to preserve animals’ welfare, while other companies in the US such as Tyson Fresh Meats stopped temporarily accepting c</w:t>
      </w:r>
      <w:r w:rsidRPr="00D35FB7">
        <w:rPr>
          <w:rFonts w:asciiTheme="minorHAnsi" w:eastAsia="Times New Roman" w:hAnsiTheme="minorHAnsi"/>
          <w:color w:val="000000" w:themeColor="text1"/>
          <w:shd w:val="clear" w:color="auto" w:fill="FEFDFA"/>
        </w:rPr>
        <w:t xml:space="preserve">attle fed with beta-2 agonist </w:t>
      </w:r>
      <w:proofErr w:type="spellStart"/>
      <w:r w:rsidRPr="00D35FB7">
        <w:rPr>
          <w:rFonts w:asciiTheme="minorHAnsi" w:eastAsia="Times New Roman" w:hAnsiTheme="minorHAnsi"/>
          <w:color w:val="000000" w:themeColor="text1"/>
          <w:shd w:val="clear" w:color="auto" w:fill="FEFDFA"/>
        </w:rPr>
        <w:t>Zilmax</w:t>
      </w:r>
      <w:proofErr w:type="spellEnd"/>
      <w:r w:rsidRPr="00D35FB7">
        <w:rPr>
          <w:rFonts w:asciiTheme="minorHAnsi" w:eastAsia="Times New Roman" w:hAnsiTheme="minorHAnsi"/>
          <w:color w:val="000000" w:themeColor="text1"/>
          <w:vertAlign w:val="superscript"/>
        </w:rPr>
        <w:t>©</w:t>
      </w:r>
      <w:r w:rsidRPr="00D35FB7">
        <w:rPr>
          <w:rFonts w:asciiTheme="minorHAnsi" w:eastAsia="Times New Roman" w:hAnsiTheme="minorHAnsi"/>
          <w:color w:val="000000" w:themeColor="text1"/>
          <w:shd w:val="clear" w:color="auto" w:fill="FEFDFA"/>
        </w:rPr>
        <w:t xml:space="preserve"> until a comprehensive study investigates these concerns.</w:t>
      </w:r>
    </w:p>
    <w:p w:rsidR="00BF647B" w:rsidRPr="00D35FB7" w:rsidRDefault="00BF647B" w:rsidP="00BF647B">
      <w:pPr>
        <w:jc w:val="both"/>
        <w:rPr>
          <w:rFonts w:asciiTheme="minorHAnsi" w:eastAsia="Times New Roman" w:hAnsiTheme="minorHAnsi"/>
          <w:color w:val="000000" w:themeColor="text1"/>
          <w:shd w:val="clear" w:color="auto" w:fill="FEFDFA"/>
        </w:rPr>
      </w:pPr>
    </w:p>
    <w:p w:rsidR="00BF647B" w:rsidRPr="00D35FB7" w:rsidRDefault="00BF647B" w:rsidP="00BF647B">
      <w:pPr>
        <w:rPr>
          <w:rFonts w:asciiTheme="minorHAnsi" w:eastAsia="Times New Roman" w:hAnsiTheme="minorHAnsi"/>
          <w:color w:val="000000" w:themeColor="text1"/>
          <w:shd w:val="clear" w:color="auto" w:fill="FEFDFA"/>
        </w:rPr>
      </w:pPr>
    </w:p>
    <w:p w:rsidR="00BF647B" w:rsidRPr="00D35FB7" w:rsidRDefault="00BF647B" w:rsidP="00BF647B">
      <w:pPr>
        <w:rPr>
          <w:rFonts w:asciiTheme="minorHAnsi" w:eastAsia="Times New Roman" w:hAnsiTheme="minorHAnsi"/>
          <w:color w:val="000000" w:themeColor="text1"/>
          <w:shd w:val="clear" w:color="auto" w:fill="FEFDFA"/>
        </w:rPr>
      </w:pPr>
    </w:p>
    <w:p w:rsidR="00BF647B" w:rsidRPr="003C1E1C" w:rsidRDefault="00BF647B" w:rsidP="00BF647B">
      <w:pPr>
        <w:rPr>
          <w:rFonts w:asciiTheme="minorHAnsi" w:eastAsia="Times New Roman" w:hAnsiTheme="minorHAnsi"/>
          <w:b/>
          <w:bCs/>
          <w:color w:val="000000" w:themeColor="text1"/>
          <w:shd w:val="clear" w:color="auto" w:fill="FEFDFA"/>
        </w:rPr>
      </w:pPr>
      <w:r w:rsidRPr="003C1E1C">
        <w:rPr>
          <w:rFonts w:asciiTheme="minorHAnsi" w:eastAsia="Times New Roman" w:hAnsiTheme="minorHAnsi"/>
          <w:b/>
          <w:bCs/>
          <w:color w:val="000000" w:themeColor="text1"/>
          <w:shd w:val="clear" w:color="auto" w:fill="FEFDFA"/>
        </w:rPr>
        <w:t>References:</w:t>
      </w:r>
    </w:p>
    <w:p w:rsidR="00BF647B" w:rsidRPr="00D35FB7" w:rsidRDefault="00BF647B" w:rsidP="00BF647B">
      <w:pPr>
        <w:rPr>
          <w:rFonts w:asciiTheme="minorHAnsi" w:eastAsia="Times New Roman" w:hAnsiTheme="minorHAnsi"/>
          <w:color w:val="000000" w:themeColor="text1"/>
          <w:shd w:val="clear" w:color="auto" w:fill="FEFDFA"/>
        </w:rPr>
      </w:pPr>
    </w:p>
    <w:p w:rsidR="00BF647B" w:rsidRPr="00D35FB7" w:rsidRDefault="00BF647B" w:rsidP="00BF647B">
      <w:pPr>
        <w:rPr>
          <w:rFonts w:asciiTheme="minorHAnsi" w:eastAsia="Times New Roman" w:hAnsiTheme="minorHAnsi"/>
          <w:color w:val="000000" w:themeColor="text1"/>
        </w:rPr>
      </w:pPr>
      <w:r w:rsidRPr="00D35FB7">
        <w:rPr>
          <w:rStyle w:val="selectable"/>
          <w:rFonts w:asciiTheme="minorHAnsi" w:eastAsia="Times New Roman" w:hAnsiTheme="minorHAnsi"/>
          <w:color w:val="000000" w:themeColor="text1"/>
        </w:rPr>
        <w:t xml:space="preserve">Beef Cattle (Penn State Extension). (2017). </w:t>
      </w:r>
      <w:r w:rsidRPr="00D35FB7">
        <w:rPr>
          <w:rStyle w:val="selectable"/>
          <w:rFonts w:asciiTheme="minorHAnsi" w:eastAsia="Times New Roman" w:hAnsiTheme="minorHAnsi"/>
          <w:i/>
          <w:iCs/>
          <w:color w:val="000000" w:themeColor="text1"/>
        </w:rPr>
        <w:t>Use of Beta-Agonists in Cattle Feed (Beef Cattle)</w:t>
      </w:r>
      <w:r w:rsidRPr="00D35FB7">
        <w:rPr>
          <w:rStyle w:val="selectable"/>
          <w:rFonts w:asciiTheme="minorHAnsi" w:eastAsia="Times New Roman" w:hAnsiTheme="minorHAnsi"/>
          <w:color w:val="000000" w:themeColor="text1"/>
        </w:rPr>
        <w:t>. [</w:t>
      </w:r>
      <w:proofErr w:type="gramStart"/>
      <w:r w:rsidRPr="00D35FB7">
        <w:rPr>
          <w:rStyle w:val="selectable"/>
          <w:rFonts w:asciiTheme="minorHAnsi" w:eastAsia="Times New Roman" w:hAnsiTheme="minorHAnsi"/>
          <w:color w:val="000000" w:themeColor="text1"/>
        </w:rPr>
        <w:t>online</w:t>
      </w:r>
      <w:proofErr w:type="gramEnd"/>
      <w:r w:rsidRPr="00D35FB7">
        <w:rPr>
          <w:rStyle w:val="selectable"/>
          <w:rFonts w:asciiTheme="minorHAnsi" w:eastAsia="Times New Roman" w:hAnsiTheme="minorHAnsi"/>
          <w:color w:val="000000" w:themeColor="text1"/>
        </w:rPr>
        <w:t>] Available at: http://extension.psu.edu/animals/beef/nutrition/articles/use-of-beta-agonists-in-cattle-feed [Accessed 15 Jun. 2017].</w:t>
      </w:r>
    </w:p>
    <w:p w:rsidR="00BF647B" w:rsidRPr="00D35FB7" w:rsidRDefault="00BF647B" w:rsidP="00BF647B">
      <w:pPr>
        <w:rPr>
          <w:rFonts w:asciiTheme="minorHAnsi" w:eastAsia="Times New Roman" w:hAnsiTheme="minorHAnsi" w:cs="Arial"/>
          <w:color w:val="000000" w:themeColor="text1"/>
          <w:sz w:val="20"/>
          <w:szCs w:val="20"/>
          <w:shd w:val="clear" w:color="auto" w:fill="FFFFFF"/>
        </w:rPr>
      </w:pPr>
    </w:p>
    <w:p w:rsidR="00BF647B" w:rsidRPr="00D35FB7" w:rsidRDefault="00BF647B" w:rsidP="00BF647B">
      <w:pPr>
        <w:rPr>
          <w:rFonts w:asciiTheme="minorHAnsi" w:eastAsia="Times New Roman" w:hAnsiTheme="minorHAnsi"/>
          <w:color w:val="000000" w:themeColor="text1"/>
        </w:rPr>
      </w:pPr>
      <w:proofErr w:type="spellStart"/>
      <w:r w:rsidRPr="00D35FB7">
        <w:rPr>
          <w:rStyle w:val="selectable"/>
          <w:rFonts w:asciiTheme="minorHAnsi" w:eastAsia="Times New Roman" w:hAnsiTheme="minorHAnsi"/>
          <w:color w:val="000000" w:themeColor="text1"/>
        </w:rPr>
        <w:t>Centner</w:t>
      </w:r>
      <w:proofErr w:type="spellEnd"/>
      <w:r w:rsidRPr="00D35FB7">
        <w:rPr>
          <w:rStyle w:val="selectable"/>
          <w:rFonts w:asciiTheme="minorHAnsi" w:eastAsia="Times New Roman" w:hAnsiTheme="minorHAnsi"/>
          <w:color w:val="000000" w:themeColor="text1"/>
        </w:rPr>
        <w:t xml:space="preserve">, T., </w:t>
      </w:r>
      <w:proofErr w:type="spellStart"/>
      <w:r w:rsidRPr="00D35FB7">
        <w:rPr>
          <w:rStyle w:val="selectable"/>
          <w:rFonts w:asciiTheme="minorHAnsi" w:eastAsia="Times New Roman" w:hAnsiTheme="minorHAnsi"/>
          <w:color w:val="000000" w:themeColor="text1"/>
        </w:rPr>
        <w:t>Alvey</w:t>
      </w:r>
      <w:proofErr w:type="spellEnd"/>
      <w:r w:rsidRPr="00D35FB7">
        <w:rPr>
          <w:rStyle w:val="selectable"/>
          <w:rFonts w:asciiTheme="minorHAnsi" w:eastAsia="Times New Roman" w:hAnsiTheme="minorHAnsi"/>
          <w:color w:val="000000" w:themeColor="text1"/>
        </w:rPr>
        <w:t xml:space="preserve">, J. and </w:t>
      </w:r>
      <w:proofErr w:type="spellStart"/>
      <w:r w:rsidRPr="00D35FB7">
        <w:rPr>
          <w:rStyle w:val="selectable"/>
          <w:rFonts w:asciiTheme="minorHAnsi" w:eastAsia="Times New Roman" w:hAnsiTheme="minorHAnsi"/>
          <w:color w:val="000000" w:themeColor="text1"/>
        </w:rPr>
        <w:t>Stelzleni</w:t>
      </w:r>
      <w:proofErr w:type="spellEnd"/>
      <w:r w:rsidRPr="00D35FB7">
        <w:rPr>
          <w:rStyle w:val="selectable"/>
          <w:rFonts w:asciiTheme="minorHAnsi" w:eastAsia="Times New Roman" w:hAnsiTheme="minorHAnsi"/>
          <w:color w:val="000000" w:themeColor="text1"/>
        </w:rPr>
        <w:t xml:space="preserve">, A. (2014). Beta agonists in livestock feed: Status, health concerns, and international trade. </w:t>
      </w:r>
      <w:r w:rsidRPr="00D35FB7">
        <w:rPr>
          <w:rStyle w:val="selectable"/>
          <w:rFonts w:asciiTheme="minorHAnsi" w:eastAsia="Times New Roman" w:hAnsiTheme="minorHAnsi"/>
          <w:i/>
          <w:iCs/>
          <w:color w:val="000000" w:themeColor="text1"/>
        </w:rPr>
        <w:t>Journal of Animal Science</w:t>
      </w:r>
      <w:r w:rsidRPr="00D35FB7">
        <w:rPr>
          <w:rStyle w:val="selectable"/>
          <w:rFonts w:asciiTheme="minorHAnsi" w:eastAsia="Times New Roman" w:hAnsiTheme="minorHAnsi"/>
          <w:color w:val="000000" w:themeColor="text1"/>
        </w:rPr>
        <w:t>, 92(9), pp.4234-4240.</w:t>
      </w:r>
    </w:p>
    <w:p w:rsidR="00BF647B" w:rsidRPr="00D35FB7" w:rsidRDefault="00BF647B" w:rsidP="00BF647B">
      <w:pPr>
        <w:rPr>
          <w:rStyle w:val="selectable"/>
          <w:rFonts w:asciiTheme="minorHAnsi" w:eastAsia="Times New Roman" w:hAnsiTheme="minorHAnsi"/>
          <w:color w:val="000000" w:themeColor="text1"/>
        </w:rPr>
      </w:pPr>
    </w:p>
    <w:p w:rsidR="00BF647B" w:rsidRPr="00D35FB7" w:rsidRDefault="00BF647B" w:rsidP="00BF647B">
      <w:pPr>
        <w:rPr>
          <w:rFonts w:asciiTheme="minorHAnsi" w:eastAsia="Times New Roman" w:hAnsiTheme="minorHAnsi"/>
          <w:color w:val="000000" w:themeColor="text1"/>
        </w:rPr>
      </w:pPr>
      <w:proofErr w:type="spellStart"/>
      <w:r w:rsidRPr="00D35FB7">
        <w:rPr>
          <w:rStyle w:val="selectable"/>
          <w:rFonts w:asciiTheme="minorHAnsi" w:eastAsia="Times New Roman" w:hAnsiTheme="minorHAnsi"/>
          <w:color w:val="000000" w:themeColor="text1"/>
        </w:rPr>
        <w:t>Loneragan</w:t>
      </w:r>
      <w:proofErr w:type="spellEnd"/>
      <w:r w:rsidRPr="00D35FB7">
        <w:rPr>
          <w:rStyle w:val="selectable"/>
          <w:rFonts w:asciiTheme="minorHAnsi" w:eastAsia="Times New Roman" w:hAnsiTheme="minorHAnsi"/>
          <w:color w:val="000000" w:themeColor="text1"/>
        </w:rPr>
        <w:t xml:space="preserve">, G., Thomson, D. and Scott, H. (2014). Increased Mortality in Groups of Cattle Administered the β-Adrenergic Agonists </w:t>
      </w:r>
      <w:proofErr w:type="spellStart"/>
      <w:r w:rsidRPr="00D35FB7">
        <w:rPr>
          <w:rStyle w:val="selectable"/>
          <w:rFonts w:asciiTheme="minorHAnsi" w:eastAsia="Times New Roman" w:hAnsiTheme="minorHAnsi"/>
          <w:color w:val="000000" w:themeColor="text1"/>
        </w:rPr>
        <w:t>Ractopamine</w:t>
      </w:r>
      <w:proofErr w:type="spellEnd"/>
      <w:r w:rsidRPr="00D35FB7">
        <w:rPr>
          <w:rStyle w:val="selectable"/>
          <w:rFonts w:asciiTheme="minorHAnsi" w:eastAsia="Times New Roman" w:hAnsiTheme="minorHAnsi"/>
          <w:color w:val="000000" w:themeColor="text1"/>
        </w:rPr>
        <w:t xml:space="preserve"> Hydrochloride and </w:t>
      </w:r>
      <w:proofErr w:type="spellStart"/>
      <w:r w:rsidRPr="00D35FB7">
        <w:rPr>
          <w:rStyle w:val="selectable"/>
          <w:rFonts w:asciiTheme="minorHAnsi" w:eastAsia="Times New Roman" w:hAnsiTheme="minorHAnsi"/>
          <w:color w:val="000000" w:themeColor="text1"/>
        </w:rPr>
        <w:t>Zilpaterol</w:t>
      </w:r>
      <w:proofErr w:type="spellEnd"/>
      <w:r w:rsidRPr="00D35FB7">
        <w:rPr>
          <w:rStyle w:val="selectable"/>
          <w:rFonts w:asciiTheme="minorHAnsi" w:eastAsia="Times New Roman" w:hAnsiTheme="minorHAnsi"/>
          <w:color w:val="000000" w:themeColor="text1"/>
        </w:rPr>
        <w:t xml:space="preserve"> Hydrochloride. </w:t>
      </w:r>
      <w:proofErr w:type="spellStart"/>
      <w:r w:rsidRPr="00D35FB7">
        <w:rPr>
          <w:rStyle w:val="selectable"/>
          <w:rFonts w:asciiTheme="minorHAnsi" w:eastAsia="Times New Roman" w:hAnsiTheme="minorHAnsi"/>
          <w:i/>
          <w:iCs/>
          <w:color w:val="000000" w:themeColor="text1"/>
        </w:rPr>
        <w:t>PLoS</w:t>
      </w:r>
      <w:proofErr w:type="spellEnd"/>
      <w:r w:rsidRPr="00D35FB7">
        <w:rPr>
          <w:rStyle w:val="selectable"/>
          <w:rFonts w:asciiTheme="minorHAnsi" w:eastAsia="Times New Roman" w:hAnsiTheme="minorHAnsi"/>
          <w:i/>
          <w:iCs/>
          <w:color w:val="000000" w:themeColor="text1"/>
        </w:rPr>
        <w:t xml:space="preserve"> ONE</w:t>
      </w:r>
      <w:r w:rsidRPr="00D35FB7">
        <w:rPr>
          <w:rStyle w:val="selectable"/>
          <w:rFonts w:asciiTheme="minorHAnsi" w:eastAsia="Times New Roman" w:hAnsiTheme="minorHAnsi"/>
          <w:color w:val="000000" w:themeColor="text1"/>
        </w:rPr>
        <w:t>, 9(3), p.e91177.</w:t>
      </w:r>
    </w:p>
    <w:p w:rsidR="00BF647B" w:rsidRPr="00D35FB7" w:rsidRDefault="00BF647B" w:rsidP="00BF647B">
      <w:pPr>
        <w:rPr>
          <w:rFonts w:asciiTheme="minorHAnsi" w:eastAsia="Times New Roman" w:hAnsiTheme="minorHAnsi"/>
          <w:color w:val="000000" w:themeColor="text1"/>
        </w:rPr>
      </w:pPr>
    </w:p>
    <w:p w:rsidR="00BF647B" w:rsidRPr="00D35FB7" w:rsidRDefault="00BF647B" w:rsidP="00BF647B">
      <w:pPr>
        <w:rPr>
          <w:rFonts w:asciiTheme="minorHAnsi" w:eastAsia="Times New Roman" w:hAnsiTheme="minorHAnsi"/>
          <w:color w:val="000000" w:themeColor="text1"/>
          <w:sz w:val="21"/>
          <w:szCs w:val="21"/>
        </w:rPr>
      </w:pPr>
    </w:p>
    <w:p w:rsidR="00BF647B" w:rsidRPr="00D35FB7" w:rsidRDefault="00BF647B" w:rsidP="00BF647B">
      <w:pPr>
        <w:rPr>
          <w:rFonts w:asciiTheme="minorHAnsi" w:eastAsia="Times New Roman" w:hAnsiTheme="minorHAnsi"/>
          <w:color w:val="000000" w:themeColor="text1"/>
        </w:rPr>
      </w:pPr>
      <w:r w:rsidRPr="00D35FB7">
        <w:rPr>
          <w:rStyle w:val="selectable"/>
          <w:rFonts w:asciiTheme="minorHAnsi" w:eastAsia="Times New Roman" w:hAnsiTheme="minorHAnsi"/>
          <w:color w:val="000000" w:themeColor="text1"/>
        </w:rPr>
        <w:t xml:space="preserve">Network, U. (2017). </w:t>
      </w:r>
      <w:r w:rsidRPr="00D35FB7">
        <w:rPr>
          <w:rStyle w:val="selectable"/>
          <w:rFonts w:asciiTheme="minorHAnsi" w:eastAsia="Times New Roman" w:hAnsiTheme="minorHAnsi"/>
          <w:i/>
          <w:iCs/>
          <w:color w:val="000000" w:themeColor="text1"/>
        </w:rPr>
        <w:t>Beta-agonists: What are they and should I be concerned? | Announce | University of Nebraska-Lincoln</w:t>
      </w:r>
      <w:r w:rsidRPr="00D35FB7">
        <w:rPr>
          <w:rStyle w:val="selectable"/>
          <w:rFonts w:asciiTheme="minorHAnsi" w:eastAsia="Times New Roman" w:hAnsiTheme="minorHAnsi"/>
          <w:color w:val="000000" w:themeColor="text1"/>
        </w:rPr>
        <w:t>. [</w:t>
      </w:r>
      <w:proofErr w:type="gramStart"/>
      <w:r w:rsidRPr="00D35FB7">
        <w:rPr>
          <w:rStyle w:val="selectable"/>
          <w:rFonts w:asciiTheme="minorHAnsi" w:eastAsia="Times New Roman" w:hAnsiTheme="minorHAnsi"/>
          <w:color w:val="000000" w:themeColor="text1"/>
        </w:rPr>
        <w:t>online</w:t>
      </w:r>
      <w:proofErr w:type="gramEnd"/>
      <w:r w:rsidRPr="00D35FB7">
        <w:rPr>
          <w:rStyle w:val="selectable"/>
          <w:rFonts w:asciiTheme="minorHAnsi" w:eastAsia="Times New Roman" w:hAnsiTheme="minorHAnsi"/>
          <w:color w:val="000000" w:themeColor="text1"/>
        </w:rPr>
        <w:t>] Newsroom.unl.edu. Available at: http://newsroom.unl.edu/announce/beef/2563/14863 [Accessed 11 Jun. 2017].</w:t>
      </w:r>
    </w:p>
    <w:p w:rsidR="00BF647B" w:rsidRPr="00D35FB7" w:rsidRDefault="00BF647B" w:rsidP="00BF647B">
      <w:pPr>
        <w:rPr>
          <w:rStyle w:val="selectable"/>
          <w:rFonts w:asciiTheme="minorHAnsi" w:eastAsia="Times New Roman" w:hAnsiTheme="minorHAnsi"/>
          <w:color w:val="000000" w:themeColor="text1"/>
        </w:rPr>
      </w:pPr>
    </w:p>
    <w:p w:rsidR="00BF647B" w:rsidRPr="00D35FB7" w:rsidRDefault="00BF647B" w:rsidP="00BF647B">
      <w:pPr>
        <w:rPr>
          <w:rStyle w:val="selectable"/>
          <w:rFonts w:asciiTheme="minorHAnsi" w:eastAsia="Times New Roman" w:hAnsiTheme="minorHAnsi"/>
          <w:color w:val="000000" w:themeColor="text1"/>
        </w:rPr>
      </w:pPr>
    </w:p>
    <w:p w:rsidR="00BF647B" w:rsidRPr="00D35FB7" w:rsidRDefault="00BF647B" w:rsidP="00BF647B">
      <w:pPr>
        <w:rPr>
          <w:rStyle w:val="selectable"/>
          <w:rFonts w:asciiTheme="minorHAnsi" w:eastAsia="Times New Roman" w:hAnsiTheme="minorHAnsi"/>
          <w:color w:val="000000" w:themeColor="text1"/>
        </w:rPr>
      </w:pPr>
    </w:p>
    <w:p w:rsidR="00BF647B" w:rsidRPr="003C1E1C" w:rsidRDefault="00BF647B" w:rsidP="00BF647B">
      <w:pPr>
        <w:rPr>
          <w:rStyle w:val="selectable"/>
          <w:rFonts w:asciiTheme="minorHAnsi" w:eastAsia="Times New Roman" w:hAnsiTheme="minorHAnsi"/>
          <w:b/>
          <w:bCs/>
          <w:color w:val="000000" w:themeColor="text1"/>
        </w:rPr>
      </w:pPr>
      <w:r w:rsidRPr="003C1E1C">
        <w:rPr>
          <w:rStyle w:val="selectable"/>
          <w:rFonts w:asciiTheme="minorHAnsi" w:eastAsia="Times New Roman" w:hAnsiTheme="minorHAnsi"/>
          <w:b/>
          <w:bCs/>
          <w:color w:val="000000" w:themeColor="text1"/>
        </w:rPr>
        <w:t xml:space="preserve">Prepared by: </w:t>
      </w:r>
    </w:p>
    <w:p w:rsidR="00BF647B" w:rsidRPr="00D35FB7" w:rsidRDefault="00BF647B" w:rsidP="00BF647B">
      <w:pPr>
        <w:rPr>
          <w:rStyle w:val="selectable"/>
          <w:rFonts w:asciiTheme="minorHAnsi" w:eastAsia="Times New Roman" w:hAnsiTheme="minorHAnsi"/>
          <w:color w:val="000000" w:themeColor="text1"/>
        </w:rPr>
      </w:pPr>
    </w:p>
    <w:p w:rsidR="00BF647B" w:rsidRDefault="00BF647B" w:rsidP="00BF647B">
      <w:pPr>
        <w:rPr>
          <w:rStyle w:val="selectable"/>
          <w:rFonts w:asciiTheme="minorHAnsi" w:eastAsia="Times New Roman" w:hAnsiTheme="minorHAnsi"/>
          <w:color w:val="000000" w:themeColor="text1"/>
        </w:rPr>
      </w:pPr>
      <w:r w:rsidRPr="00D35FB7">
        <w:rPr>
          <w:rStyle w:val="selectable"/>
          <w:rFonts w:asciiTheme="minorHAnsi" w:eastAsia="Times New Roman" w:hAnsiTheme="minorHAnsi"/>
          <w:color w:val="000000" w:themeColor="text1"/>
        </w:rPr>
        <w:t xml:space="preserve">Mohammad Abu </w:t>
      </w:r>
      <w:proofErr w:type="spellStart"/>
      <w:r w:rsidRPr="00D35FB7">
        <w:rPr>
          <w:rStyle w:val="selectable"/>
          <w:rFonts w:asciiTheme="minorHAnsi" w:eastAsia="Times New Roman" w:hAnsiTheme="minorHAnsi"/>
          <w:color w:val="000000" w:themeColor="text1"/>
        </w:rPr>
        <w:t>Arja</w:t>
      </w:r>
      <w:proofErr w:type="spellEnd"/>
      <w:r>
        <w:rPr>
          <w:rStyle w:val="selectable"/>
          <w:rFonts w:asciiTheme="minorHAnsi" w:eastAsia="Times New Roman" w:hAnsiTheme="minorHAnsi"/>
          <w:color w:val="000000" w:themeColor="text1"/>
        </w:rPr>
        <w:t>,</w:t>
      </w:r>
      <w:r w:rsidRPr="00D35FB7">
        <w:rPr>
          <w:rStyle w:val="selectable"/>
          <w:rFonts w:asciiTheme="minorHAnsi" w:eastAsia="Times New Roman" w:hAnsiTheme="minorHAnsi"/>
          <w:color w:val="000000" w:themeColor="text1"/>
        </w:rPr>
        <w:t xml:space="preserve"> MD</w:t>
      </w:r>
      <w:r>
        <w:rPr>
          <w:rStyle w:val="selectable"/>
          <w:rFonts w:asciiTheme="minorHAnsi" w:eastAsia="Times New Roman" w:hAnsiTheme="minorHAnsi"/>
          <w:color w:val="000000" w:themeColor="text1"/>
        </w:rPr>
        <w:t>/</w:t>
      </w:r>
      <w:r w:rsidRPr="00D35FB7">
        <w:rPr>
          <w:rStyle w:val="selectable"/>
          <w:rFonts w:asciiTheme="minorHAnsi" w:eastAsia="Times New Roman" w:hAnsiTheme="minorHAnsi"/>
          <w:color w:val="000000" w:themeColor="text1"/>
        </w:rPr>
        <w:t xml:space="preserve"> MS</w:t>
      </w:r>
    </w:p>
    <w:p w:rsidR="00BF647B" w:rsidRPr="00D35FB7" w:rsidRDefault="00BF647B" w:rsidP="00BF647B">
      <w:pPr>
        <w:rPr>
          <w:rStyle w:val="selectable"/>
          <w:rFonts w:asciiTheme="minorHAnsi" w:eastAsia="Times New Roman" w:hAnsiTheme="minorHAnsi"/>
          <w:color w:val="000000" w:themeColor="text1"/>
        </w:rPr>
      </w:pPr>
      <w:r>
        <w:rPr>
          <w:rStyle w:val="selectable"/>
          <w:rFonts w:asciiTheme="minorHAnsi" w:eastAsia="Times New Roman" w:hAnsiTheme="minorHAnsi"/>
          <w:color w:val="000000" w:themeColor="text1"/>
        </w:rPr>
        <w:t>Technical Adviser at Halal Transactions.</w:t>
      </w:r>
    </w:p>
    <w:p w:rsidR="00BF647B" w:rsidRDefault="00BF647B" w:rsidP="00BF647B">
      <w:pPr>
        <w:rPr>
          <w:rFonts w:ascii="Helvetica Neue" w:eastAsia="Times New Roman" w:hAnsi="Helvetica Neue"/>
          <w:color w:val="333333"/>
          <w:sz w:val="21"/>
          <w:szCs w:val="21"/>
        </w:rPr>
      </w:pPr>
    </w:p>
    <w:p w:rsidR="00BF647B" w:rsidRPr="00682598" w:rsidRDefault="00BF647B" w:rsidP="00BF647B">
      <w:pPr>
        <w:rPr>
          <w:rFonts w:asciiTheme="minorHAnsi" w:eastAsia="Times New Roman" w:hAnsiTheme="minorHAnsi"/>
          <w:color w:val="000000" w:themeColor="text1"/>
        </w:rPr>
      </w:pPr>
    </w:p>
    <w:p w:rsidR="00BF647B" w:rsidRDefault="00BF647B"/>
    <w:sectPr w:rsidR="00BF6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PSMT">
    <w:charset w:val="00"/>
    <w:family w:val="roman"/>
    <w:pitch w:val="variable"/>
    <w:sig w:usb0="E0002AEF" w:usb1="C0007841"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7B"/>
    <w:rsid w:val="00005769"/>
    <w:rsid w:val="00012B9F"/>
    <w:rsid w:val="000172AF"/>
    <w:rsid w:val="000219FB"/>
    <w:rsid w:val="00021C1B"/>
    <w:rsid w:val="00024535"/>
    <w:rsid w:val="000336FB"/>
    <w:rsid w:val="00044FFF"/>
    <w:rsid w:val="000529EF"/>
    <w:rsid w:val="00071FC5"/>
    <w:rsid w:val="00081035"/>
    <w:rsid w:val="00086474"/>
    <w:rsid w:val="000919DF"/>
    <w:rsid w:val="0009363E"/>
    <w:rsid w:val="00093C4B"/>
    <w:rsid w:val="0009650D"/>
    <w:rsid w:val="00097022"/>
    <w:rsid w:val="000A7907"/>
    <w:rsid w:val="000B40D4"/>
    <w:rsid w:val="000B4FFB"/>
    <w:rsid w:val="000B78A2"/>
    <w:rsid w:val="000C0D52"/>
    <w:rsid w:val="000C4DCE"/>
    <w:rsid w:val="000C705B"/>
    <w:rsid w:val="000E3344"/>
    <w:rsid w:val="000E6395"/>
    <w:rsid w:val="00101965"/>
    <w:rsid w:val="00104974"/>
    <w:rsid w:val="00105AB9"/>
    <w:rsid w:val="00112C3D"/>
    <w:rsid w:val="001154BF"/>
    <w:rsid w:val="00123A42"/>
    <w:rsid w:val="00127768"/>
    <w:rsid w:val="00143E16"/>
    <w:rsid w:val="00145A76"/>
    <w:rsid w:val="00156EAC"/>
    <w:rsid w:val="00165AE3"/>
    <w:rsid w:val="001751B7"/>
    <w:rsid w:val="0018125F"/>
    <w:rsid w:val="00182A4F"/>
    <w:rsid w:val="00184EDA"/>
    <w:rsid w:val="00186363"/>
    <w:rsid w:val="00193D8F"/>
    <w:rsid w:val="00197EB5"/>
    <w:rsid w:val="001A272C"/>
    <w:rsid w:val="001A6AF1"/>
    <w:rsid w:val="001A799C"/>
    <w:rsid w:val="001A7D55"/>
    <w:rsid w:val="001B2951"/>
    <w:rsid w:val="001B4249"/>
    <w:rsid w:val="001B51BF"/>
    <w:rsid w:val="001B7E40"/>
    <w:rsid w:val="001C1B9E"/>
    <w:rsid w:val="001C2769"/>
    <w:rsid w:val="001C7307"/>
    <w:rsid w:val="001D0C83"/>
    <w:rsid w:val="00222DCF"/>
    <w:rsid w:val="00224A25"/>
    <w:rsid w:val="002250DE"/>
    <w:rsid w:val="002322EA"/>
    <w:rsid w:val="00237903"/>
    <w:rsid w:val="002638DD"/>
    <w:rsid w:val="002657A6"/>
    <w:rsid w:val="00267FBF"/>
    <w:rsid w:val="00271252"/>
    <w:rsid w:val="00271BD1"/>
    <w:rsid w:val="00277811"/>
    <w:rsid w:val="00280405"/>
    <w:rsid w:val="00282D54"/>
    <w:rsid w:val="002840F1"/>
    <w:rsid w:val="002850E4"/>
    <w:rsid w:val="00294A73"/>
    <w:rsid w:val="002A0DE1"/>
    <w:rsid w:val="002A2A47"/>
    <w:rsid w:val="002A452E"/>
    <w:rsid w:val="002B44C8"/>
    <w:rsid w:val="002C0136"/>
    <w:rsid w:val="002C4E85"/>
    <w:rsid w:val="002C76D3"/>
    <w:rsid w:val="002D4548"/>
    <w:rsid w:val="002D74E2"/>
    <w:rsid w:val="002E5F77"/>
    <w:rsid w:val="00301BCB"/>
    <w:rsid w:val="00321853"/>
    <w:rsid w:val="00326D73"/>
    <w:rsid w:val="00341157"/>
    <w:rsid w:val="00344422"/>
    <w:rsid w:val="0034461D"/>
    <w:rsid w:val="00344897"/>
    <w:rsid w:val="003516CB"/>
    <w:rsid w:val="003634BC"/>
    <w:rsid w:val="00367F7F"/>
    <w:rsid w:val="00371DEC"/>
    <w:rsid w:val="003862BA"/>
    <w:rsid w:val="00391052"/>
    <w:rsid w:val="003A2BC8"/>
    <w:rsid w:val="003A3135"/>
    <w:rsid w:val="003A36D6"/>
    <w:rsid w:val="003A47AC"/>
    <w:rsid w:val="003A6B90"/>
    <w:rsid w:val="003B2D8D"/>
    <w:rsid w:val="003B6C3B"/>
    <w:rsid w:val="003C043C"/>
    <w:rsid w:val="003C265A"/>
    <w:rsid w:val="003C58BB"/>
    <w:rsid w:val="003C7B94"/>
    <w:rsid w:val="003D5F39"/>
    <w:rsid w:val="003E4726"/>
    <w:rsid w:val="003F2BC2"/>
    <w:rsid w:val="003F5223"/>
    <w:rsid w:val="00422BB0"/>
    <w:rsid w:val="004257F7"/>
    <w:rsid w:val="00443DC2"/>
    <w:rsid w:val="00454A9B"/>
    <w:rsid w:val="0046733E"/>
    <w:rsid w:val="00485AB9"/>
    <w:rsid w:val="00485BB1"/>
    <w:rsid w:val="004866F1"/>
    <w:rsid w:val="00486CB5"/>
    <w:rsid w:val="004913CD"/>
    <w:rsid w:val="004965D7"/>
    <w:rsid w:val="004A2070"/>
    <w:rsid w:val="004A2F81"/>
    <w:rsid w:val="004A34BE"/>
    <w:rsid w:val="004B5000"/>
    <w:rsid w:val="004C1579"/>
    <w:rsid w:val="004C5525"/>
    <w:rsid w:val="004D297C"/>
    <w:rsid w:val="004E582E"/>
    <w:rsid w:val="004F261B"/>
    <w:rsid w:val="004F6395"/>
    <w:rsid w:val="00503AC9"/>
    <w:rsid w:val="005054EC"/>
    <w:rsid w:val="00506712"/>
    <w:rsid w:val="00511EDF"/>
    <w:rsid w:val="0052147F"/>
    <w:rsid w:val="005242F8"/>
    <w:rsid w:val="00524D32"/>
    <w:rsid w:val="00525081"/>
    <w:rsid w:val="00540B6A"/>
    <w:rsid w:val="00541EB2"/>
    <w:rsid w:val="00542359"/>
    <w:rsid w:val="005520FA"/>
    <w:rsid w:val="0055233B"/>
    <w:rsid w:val="00560145"/>
    <w:rsid w:val="0056724E"/>
    <w:rsid w:val="00581A1A"/>
    <w:rsid w:val="00583C65"/>
    <w:rsid w:val="005956A0"/>
    <w:rsid w:val="005A2FE6"/>
    <w:rsid w:val="005A7EE7"/>
    <w:rsid w:val="005C193E"/>
    <w:rsid w:val="005C2EF8"/>
    <w:rsid w:val="005C59C2"/>
    <w:rsid w:val="005C6CB9"/>
    <w:rsid w:val="005D3AAA"/>
    <w:rsid w:val="005E1913"/>
    <w:rsid w:val="005E7579"/>
    <w:rsid w:val="005E7BA1"/>
    <w:rsid w:val="005F4BBC"/>
    <w:rsid w:val="00601212"/>
    <w:rsid w:val="006070C6"/>
    <w:rsid w:val="00607BF9"/>
    <w:rsid w:val="006118D0"/>
    <w:rsid w:val="00611C10"/>
    <w:rsid w:val="00614B70"/>
    <w:rsid w:val="006175A6"/>
    <w:rsid w:val="006344FB"/>
    <w:rsid w:val="00637737"/>
    <w:rsid w:val="00644710"/>
    <w:rsid w:val="00647728"/>
    <w:rsid w:val="00650721"/>
    <w:rsid w:val="00651C13"/>
    <w:rsid w:val="00660353"/>
    <w:rsid w:val="0066269D"/>
    <w:rsid w:val="00677F4C"/>
    <w:rsid w:val="006823ED"/>
    <w:rsid w:val="00685B8A"/>
    <w:rsid w:val="0069007B"/>
    <w:rsid w:val="006915C9"/>
    <w:rsid w:val="0069578A"/>
    <w:rsid w:val="006973C8"/>
    <w:rsid w:val="006A2C37"/>
    <w:rsid w:val="006C5568"/>
    <w:rsid w:val="006C56F1"/>
    <w:rsid w:val="006C59D6"/>
    <w:rsid w:val="006D5434"/>
    <w:rsid w:val="006D644E"/>
    <w:rsid w:val="006D6803"/>
    <w:rsid w:val="006D76EF"/>
    <w:rsid w:val="006E2517"/>
    <w:rsid w:val="006F6DF5"/>
    <w:rsid w:val="00707A4F"/>
    <w:rsid w:val="00710D24"/>
    <w:rsid w:val="0072077D"/>
    <w:rsid w:val="00722E9C"/>
    <w:rsid w:val="00731E4C"/>
    <w:rsid w:val="00734A3A"/>
    <w:rsid w:val="00737346"/>
    <w:rsid w:val="00740FD5"/>
    <w:rsid w:val="007501CF"/>
    <w:rsid w:val="007515B0"/>
    <w:rsid w:val="00754E20"/>
    <w:rsid w:val="0076091B"/>
    <w:rsid w:val="007626FF"/>
    <w:rsid w:val="00764934"/>
    <w:rsid w:val="00766C87"/>
    <w:rsid w:val="00772B5C"/>
    <w:rsid w:val="00783611"/>
    <w:rsid w:val="00784FB2"/>
    <w:rsid w:val="007935A8"/>
    <w:rsid w:val="007A3574"/>
    <w:rsid w:val="007A3772"/>
    <w:rsid w:val="007A3E2F"/>
    <w:rsid w:val="007C01BA"/>
    <w:rsid w:val="007C28B0"/>
    <w:rsid w:val="007C38CD"/>
    <w:rsid w:val="007D6D5B"/>
    <w:rsid w:val="007F1C66"/>
    <w:rsid w:val="007F329D"/>
    <w:rsid w:val="008076D6"/>
    <w:rsid w:val="008129DF"/>
    <w:rsid w:val="00814970"/>
    <w:rsid w:val="00822F4D"/>
    <w:rsid w:val="00825937"/>
    <w:rsid w:val="00840087"/>
    <w:rsid w:val="008479F8"/>
    <w:rsid w:val="00855A41"/>
    <w:rsid w:val="008772FA"/>
    <w:rsid w:val="00883724"/>
    <w:rsid w:val="0088627F"/>
    <w:rsid w:val="008A06E3"/>
    <w:rsid w:val="008A1BC9"/>
    <w:rsid w:val="008A3B63"/>
    <w:rsid w:val="008B7A48"/>
    <w:rsid w:val="008E41FA"/>
    <w:rsid w:val="008E750B"/>
    <w:rsid w:val="008F5876"/>
    <w:rsid w:val="008F6404"/>
    <w:rsid w:val="0090274C"/>
    <w:rsid w:val="009028DC"/>
    <w:rsid w:val="00903F72"/>
    <w:rsid w:val="00906076"/>
    <w:rsid w:val="00910DBE"/>
    <w:rsid w:val="00924271"/>
    <w:rsid w:val="009262FE"/>
    <w:rsid w:val="009267DD"/>
    <w:rsid w:val="00934458"/>
    <w:rsid w:val="00935809"/>
    <w:rsid w:val="00943807"/>
    <w:rsid w:val="009510C1"/>
    <w:rsid w:val="00953AF1"/>
    <w:rsid w:val="00953C0B"/>
    <w:rsid w:val="00954108"/>
    <w:rsid w:val="00954EA6"/>
    <w:rsid w:val="009576DB"/>
    <w:rsid w:val="00975A5A"/>
    <w:rsid w:val="00993990"/>
    <w:rsid w:val="009A40A8"/>
    <w:rsid w:val="009B1FE8"/>
    <w:rsid w:val="009B2AB2"/>
    <w:rsid w:val="009B5FA3"/>
    <w:rsid w:val="009C42BA"/>
    <w:rsid w:val="009D58B7"/>
    <w:rsid w:val="009F2E41"/>
    <w:rsid w:val="009F4178"/>
    <w:rsid w:val="009F6F2B"/>
    <w:rsid w:val="00A00058"/>
    <w:rsid w:val="00A02A59"/>
    <w:rsid w:val="00A17B06"/>
    <w:rsid w:val="00A245B3"/>
    <w:rsid w:val="00A27C31"/>
    <w:rsid w:val="00A30586"/>
    <w:rsid w:val="00A306F5"/>
    <w:rsid w:val="00A31083"/>
    <w:rsid w:val="00A3789F"/>
    <w:rsid w:val="00A438FA"/>
    <w:rsid w:val="00A6217C"/>
    <w:rsid w:val="00A65745"/>
    <w:rsid w:val="00A66A64"/>
    <w:rsid w:val="00A66B1F"/>
    <w:rsid w:val="00A80B98"/>
    <w:rsid w:val="00AA1E1C"/>
    <w:rsid w:val="00AA21D8"/>
    <w:rsid w:val="00AA4EA0"/>
    <w:rsid w:val="00AA4EEC"/>
    <w:rsid w:val="00AA6D8C"/>
    <w:rsid w:val="00AA794F"/>
    <w:rsid w:val="00AB7E93"/>
    <w:rsid w:val="00AC2CDD"/>
    <w:rsid w:val="00AC3156"/>
    <w:rsid w:val="00AC6852"/>
    <w:rsid w:val="00AD0DA4"/>
    <w:rsid w:val="00AD452D"/>
    <w:rsid w:val="00AE0872"/>
    <w:rsid w:val="00AE13EC"/>
    <w:rsid w:val="00AE58E7"/>
    <w:rsid w:val="00AE7500"/>
    <w:rsid w:val="00AF2B79"/>
    <w:rsid w:val="00AF304C"/>
    <w:rsid w:val="00B00B4F"/>
    <w:rsid w:val="00B07F8D"/>
    <w:rsid w:val="00B15B47"/>
    <w:rsid w:val="00B31FD6"/>
    <w:rsid w:val="00B34D9E"/>
    <w:rsid w:val="00B34F88"/>
    <w:rsid w:val="00B3760F"/>
    <w:rsid w:val="00B45A2A"/>
    <w:rsid w:val="00B5666F"/>
    <w:rsid w:val="00B56A62"/>
    <w:rsid w:val="00B6325B"/>
    <w:rsid w:val="00B73D0F"/>
    <w:rsid w:val="00B755BF"/>
    <w:rsid w:val="00B774E3"/>
    <w:rsid w:val="00B93BD8"/>
    <w:rsid w:val="00B96DDC"/>
    <w:rsid w:val="00BA45ED"/>
    <w:rsid w:val="00BB679D"/>
    <w:rsid w:val="00BB6CD0"/>
    <w:rsid w:val="00BC2D8C"/>
    <w:rsid w:val="00BC6094"/>
    <w:rsid w:val="00BD1F35"/>
    <w:rsid w:val="00BE0B2E"/>
    <w:rsid w:val="00BE39A3"/>
    <w:rsid w:val="00BE6AFB"/>
    <w:rsid w:val="00BF2314"/>
    <w:rsid w:val="00BF647B"/>
    <w:rsid w:val="00BF7D0C"/>
    <w:rsid w:val="00C0651F"/>
    <w:rsid w:val="00C13560"/>
    <w:rsid w:val="00C13FB6"/>
    <w:rsid w:val="00C27A26"/>
    <w:rsid w:val="00C30499"/>
    <w:rsid w:val="00C30C7F"/>
    <w:rsid w:val="00C37E2A"/>
    <w:rsid w:val="00C41FE8"/>
    <w:rsid w:val="00C45A63"/>
    <w:rsid w:val="00C500CC"/>
    <w:rsid w:val="00C52ACE"/>
    <w:rsid w:val="00C63DAC"/>
    <w:rsid w:val="00C65D46"/>
    <w:rsid w:val="00C73192"/>
    <w:rsid w:val="00C7589D"/>
    <w:rsid w:val="00C75DF3"/>
    <w:rsid w:val="00C81627"/>
    <w:rsid w:val="00C842C9"/>
    <w:rsid w:val="00C84BF5"/>
    <w:rsid w:val="00C93B54"/>
    <w:rsid w:val="00C9638B"/>
    <w:rsid w:val="00CB5DD3"/>
    <w:rsid w:val="00CC1EC0"/>
    <w:rsid w:val="00CC2982"/>
    <w:rsid w:val="00CC73BA"/>
    <w:rsid w:val="00CD01E3"/>
    <w:rsid w:val="00CE72D4"/>
    <w:rsid w:val="00CF052A"/>
    <w:rsid w:val="00CF103D"/>
    <w:rsid w:val="00CF5708"/>
    <w:rsid w:val="00D04960"/>
    <w:rsid w:val="00D15389"/>
    <w:rsid w:val="00D228D9"/>
    <w:rsid w:val="00D24F3A"/>
    <w:rsid w:val="00D26330"/>
    <w:rsid w:val="00D31D35"/>
    <w:rsid w:val="00D33247"/>
    <w:rsid w:val="00D4160A"/>
    <w:rsid w:val="00D44346"/>
    <w:rsid w:val="00D476A5"/>
    <w:rsid w:val="00D51B30"/>
    <w:rsid w:val="00D610A9"/>
    <w:rsid w:val="00D62886"/>
    <w:rsid w:val="00D64B6A"/>
    <w:rsid w:val="00D70EA0"/>
    <w:rsid w:val="00D8529F"/>
    <w:rsid w:val="00D90041"/>
    <w:rsid w:val="00D912E2"/>
    <w:rsid w:val="00D92382"/>
    <w:rsid w:val="00D95EB2"/>
    <w:rsid w:val="00D97D9E"/>
    <w:rsid w:val="00DA0B81"/>
    <w:rsid w:val="00DA0F57"/>
    <w:rsid w:val="00DB01A1"/>
    <w:rsid w:val="00DB24F5"/>
    <w:rsid w:val="00DC047B"/>
    <w:rsid w:val="00DC1A7A"/>
    <w:rsid w:val="00DC4CC5"/>
    <w:rsid w:val="00DF00C0"/>
    <w:rsid w:val="00DF238E"/>
    <w:rsid w:val="00DF3631"/>
    <w:rsid w:val="00E02EA1"/>
    <w:rsid w:val="00E3430C"/>
    <w:rsid w:val="00E36E7A"/>
    <w:rsid w:val="00E37752"/>
    <w:rsid w:val="00E4152F"/>
    <w:rsid w:val="00E463F9"/>
    <w:rsid w:val="00E63DF9"/>
    <w:rsid w:val="00E7053F"/>
    <w:rsid w:val="00E84867"/>
    <w:rsid w:val="00E90A9C"/>
    <w:rsid w:val="00E90DFC"/>
    <w:rsid w:val="00E932A3"/>
    <w:rsid w:val="00EA034E"/>
    <w:rsid w:val="00EA2CF3"/>
    <w:rsid w:val="00EB418B"/>
    <w:rsid w:val="00EB6217"/>
    <w:rsid w:val="00EC3044"/>
    <w:rsid w:val="00EC7FEA"/>
    <w:rsid w:val="00EF6A54"/>
    <w:rsid w:val="00F0014C"/>
    <w:rsid w:val="00F046B3"/>
    <w:rsid w:val="00F070BD"/>
    <w:rsid w:val="00F22037"/>
    <w:rsid w:val="00F26CAE"/>
    <w:rsid w:val="00F31625"/>
    <w:rsid w:val="00F31DED"/>
    <w:rsid w:val="00F332FB"/>
    <w:rsid w:val="00F3363F"/>
    <w:rsid w:val="00F627CF"/>
    <w:rsid w:val="00F757DF"/>
    <w:rsid w:val="00F839E0"/>
    <w:rsid w:val="00F86A18"/>
    <w:rsid w:val="00FA3D44"/>
    <w:rsid w:val="00FA569D"/>
    <w:rsid w:val="00FC2B0F"/>
    <w:rsid w:val="00FD0C0D"/>
    <w:rsid w:val="00FD1926"/>
    <w:rsid w:val="00FD21B6"/>
    <w:rsid w:val="00FD276F"/>
    <w:rsid w:val="00FE0924"/>
    <w:rsid w:val="00FE1372"/>
    <w:rsid w:val="00FE31A1"/>
    <w:rsid w:val="00FE4C6B"/>
    <w:rsid w:val="00FF1BF0"/>
    <w:rsid w:val="00FF2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2D5B-20BB-47E2-9140-6B4B58DE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47B"/>
    <w:pPr>
      <w:spacing w:before="100" w:beforeAutospacing="1" w:after="100" w:afterAutospacing="1"/>
    </w:pPr>
  </w:style>
  <w:style w:type="character" w:customStyle="1" w:styleId="selectable">
    <w:name w:val="selectable"/>
    <w:basedOn w:val="DefaultParagraphFont"/>
    <w:rsid w:val="00BF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cp:revision>
  <dcterms:created xsi:type="dcterms:W3CDTF">2017-09-19T14:43:00Z</dcterms:created>
  <dcterms:modified xsi:type="dcterms:W3CDTF">2017-09-19T14:45:00Z</dcterms:modified>
</cp:coreProperties>
</file>